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0" w:rsidRDefault="00594280" w:rsidP="0059428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594280" w:rsidRDefault="009E3E81" w:rsidP="009E3E8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8701CB">
        <w:rPr>
          <w:sz w:val="28"/>
          <w:szCs w:val="28"/>
          <w:lang w:val="uk-UA"/>
        </w:rPr>
        <w:t xml:space="preserve">                              </w:t>
      </w:r>
      <w:r w:rsidR="00594280">
        <w:rPr>
          <w:sz w:val="28"/>
          <w:szCs w:val="28"/>
          <w:lang w:val="uk-UA"/>
        </w:rPr>
        <w:t xml:space="preserve">до Звіту за результатами оцінки </w:t>
      </w:r>
    </w:p>
    <w:p w:rsidR="009E3E81" w:rsidRDefault="008701CB" w:rsidP="00594280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94280">
        <w:rPr>
          <w:sz w:val="28"/>
          <w:szCs w:val="28"/>
          <w:lang w:val="uk-UA"/>
        </w:rPr>
        <w:t>корупційних ризиків у діяльності</w:t>
      </w:r>
    </w:p>
    <w:p w:rsidR="00594280" w:rsidRDefault="009E3E81" w:rsidP="009E3E8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8701C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установи</w:t>
      </w:r>
    </w:p>
    <w:p w:rsidR="00E15CA6" w:rsidRDefault="00E15CA6">
      <w:pPr>
        <w:rPr>
          <w:lang w:val="uk-UA"/>
        </w:rPr>
      </w:pPr>
    </w:p>
    <w:p w:rsidR="00594280" w:rsidRDefault="00594280">
      <w:pPr>
        <w:rPr>
          <w:lang w:val="uk-UA"/>
        </w:rPr>
      </w:pPr>
    </w:p>
    <w:p w:rsidR="00594280" w:rsidRDefault="00594280" w:rsidP="006F5FC7">
      <w:pPr>
        <w:ind w:left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Опис ідентифікованих </w:t>
      </w:r>
      <w:r w:rsidRPr="007B5C43">
        <w:rPr>
          <w:b/>
          <w:color w:val="000000"/>
          <w:sz w:val="28"/>
          <w:szCs w:val="28"/>
          <w:lang w:val="uk-UA"/>
        </w:rPr>
        <w:t xml:space="preserve">корупційних ризиків у діяльності </w:t>
      </w:r>
      <w:r w:rsidR="006F5FC7">
        <w:rPr>
          <w:b/>
          <w:color w:val="000000"/>
          <w:sz w:val="28"/>
          <w:szCs w:val="28"/>
          <w:lang w:val="uk-UA"/>
        </w:rPr>
        <w:t>Державної лікарні</w:t>
      </w:r>
      <w:r w:rsidR="004C6CBE">
        <w:rPr>
          <w:b/>
          <w:color w:val="000000"/>
          <w:sz w:val="28"/>
          <w:szCs w:val="28"/>
          <w:lang w:val="uk-UA"/>
        </w:rPr>
        <w:t xml:space="preserve"> </w:t>
      </w:r>
      <w:r w:rsidRPr="007B5C43">
        <w:rPr>
          <w:b/>
          <w:color w:val="000000"/>
          <w:sz w:val="28"/>
          <w:szCs w:val="28"/>
          <w:lang w:val="uk-UA"/>
        </w:rPr>
        <w:t>МВС</w:t>
      </w:r>
      <w:r w:rsidR="004C6CBE">
        <w:rPr>
          <w:b/>
          <w:color w:val="000000"/>
          <w:sz w:val="28"/>
          <w:szCs w:val="28"/>
          <w:lang w:val="uk-UA"/>
        </w:rPr>
        <w:t xml:space="preserve"> України</w:t>
      </w:r>
      <w:r w:rsidR="006F5FC7">
        <w:rPr>
          <w:b/>
          <w:color w:val="000000"/>
          <w:sz w:val="28"/>
          <w:szCs w:val="28"/>
          <w:lang w:val="uk-UA"/>
        </w:rPr>
        <w:t xml:space="preserve"> в м</w:t>
      </w:r>
      <w:r w:rsidR="004C6CBE">
        <w:rPr>
          <w:b/>
          <w:color w:val="000000"/>
          <w:sz w:val="28"/>
          <w:szCs w:val="28"/>
          <w:lang w:val="uk-UA"/>
        </w:rPr>
        <w:t xml:space="preserve"> </w:t>
      </w:r>
      <w:r w:rsidR="006F5FC7">
        <w:rPr>
          <w:b/>
          <w:color w:val="000000"/>
          <w:sz w:val="28"/>
          <w:szCs w:val="28"/>
          <w:lang w:val="uk-UA"/>
        </w:rPr>
        <w:t>Кривий Ріг</w:t>
      </w:r>
      <w:r>
        <w:rPr>
          <w:b/>
          <w:color w:val="000000"/>
          <w:sz w:val="28"/>
          <w:szCs w:val="28"/>
          <w:lang w:val="uk-UA"/>
        </w:rPr>
        <w:t>,</w:t>
      </w:r>
      <w:r w:rsidR="004C6CB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чинники корупційних ризиків та можливі наслідки корупційного чи пов’язаного з корупцією правопорушення</w:t>
      </w:r>
    </w:p>
    <w:p w:rsidR="004C6CBE" w:rsidRDefault="004C6CBE" w:rsidP="004C6CBE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14034" w:type="dxa"/>
        <w:tblInd w:w="562" w:type="dxa"/>
        <w:tblLook w:val="04A0"/>
      </w:tblPr>
      <w:tblGrid>
        <w:gridCol w:w="2977"/>
        <w:gridCol w:w="3119"/>
        <w:gridCol w:w="3685"/>
        <w:gridCol w:w="4253"/>
      </w:tblGrid>
      <w:tr w:rsidR="00594280" w:rsidRPr="006F5FC7" w:rsidTr="00594280">
        <w:tc>
          <w:tcPr>
            <w:tcW w:w="2977" w:type="dxa"/>
          </w:tcPr>
          <w:p w:rsidR="00594280" w:rsidRPr="006F5FC7" w:rsidRDefault="00594280">
            <w:pPr>
              <w:rPr>
                <w:sz w:val="24"/>
                <w:szCs w:val="24"/>
                <w:lang w:val="uk-UA"/>
              </w:rPr>
            </w:pPr>
            <w:r w:rsidRPr="006F5FC7">
              <w:rPr>
                <w:b/>
                <w:color w:val="000000"/>
                <w:sz w:val="24"/>
                <w:szCs w:val="24"/>
                <w:lang w:val="uk-UA"/>
              </w:rPr>
              <w:t xml:space="preserve">  Ідентифікований корупційний ризик</w:t>
            </w:r>
          </w:p>
        </w:tc>
        <w:tc>
          <w:tcPr>
            <w:tcW w:w="3119" w:type="dxa"/>
          </w:tcPr>
          <w:p w:rsidR="00594280" w:rsidRPr="006F5FC7" w:rsidRDefault="00594280">
            <w:pPr>
              <w:rPr>
                <w:sz w:val="24"/>
                <w:szCs w:val="24"/>
                <w:lang w:val="uk-UA"/>
              </w:rPr>
            </w:pPr>
            <w:r w:rsidRPr="006F5FC7">
              <w:rPr>
                <w:b/>
                <w:color w:val="000000"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3685" w:type="dxa"/>
          </w:tcPr>
          <w:p w:rsidR="00594280" w:rsidRPr="006F5FC7" w:rsidRDefault="00594280">
            <w:pPr>
              <w:rPr>
                <w:sz w:val="24"/>
                <w:szCs w:val="24"/>
                <w:lang w:val="uk-UA"/>
              </w:rPr>
            </w:pPr>
            <w:r w:rsidRPr="006F5FC7">
              <w:rPr>
                <w:b/>
                <w:color w:val="000000"/>
                <w:sz w:val="24"/>
                <w:szCs w:val="24"/>
                <w:lang w:val="uk-UA"/>
              </w:rPr>
              <w:t>Чинники  корупційного ризику</w:t>
            </w:r>
          </w:p>
        </w:tc>
        <w:tc>
          <w:tcPr>
            <w:tcW w:w="4253" w:type="dxa"/>
          </w:tcPr>
          <w:p w:rsidR="00594280" w:rsidRPr="006F5FC7" w:rsidRDefault="00594280">
            <w:pPr>
              <w:rPr>
                <w:sz w:val="24"/>
                <w:szCs w:val="24"/>
                <w:lang w:val="uk-UA"/>
              </w:rPr>
            </w:pPr>
            <w:r w:rsidRPr="006F5FC7">
              <w:rPr>
                <w:b/>
                <w:color w:val="000000"/>
                <w:sz w:val="24"/>
                <w:szCs w:val="24"/>
                <w:lang w:val="uk-UA"/>
              </w:rPr>
              <w:t>Можливі наслідки корупційного чи пов’язаного з корупцією правопорушення</w:t>
            </w:r>
          </w:p>
        </w:tc>
      </w:tr>
    </w:tbl>
    <w:p w:rsidR="00594280" w:rsidRPr="006F5FC7" w:rsidRDefault="00594280">
      <w:pPr>
        <w:rPr>
          <w:b/>
          <w:lang w:val="uk-UA"/>
        </w:rPr>
      </w:pPr>
      <w:r w:rsidRPr="006F5FC7">
        <w:rPr>
          <w:b/>
          <w:lang w:val="uk-UA"/>
        </w:rPr>
        <w:t xml:space="preserve">            1. </w:t>
      </w:r>
      <w:r w:rsidR="002D755E" w:rsidRPr="006F5FC7">
        <w:rPr>
          <w:b/>
          <w:lang w:val="uk-UA"/>
        </w:rPr>
        <w:t>Управління фінансами</w:t>
      </w: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3373"/>
        <w:gridCol w:w="3431"/>
        <w:gridCol w:w="4217"/>
      </w:tblGrid>
      <w:tr w:rsidR="00594280" w:rsidRPr="006F5FC7" w:rsidTr="006F5FC7">
        <w:tc>
          <w:tcPr>
            <w:tcW w:w="2977" w:type="dxa"/>
          </w:tcPr>
          <w:p w:rsidR="00594280" w:rsidRPr="006F5FC7" w:rsidRDefault="002D755E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>1. Наявність можливості необґрунтованого внесення змін до розпису та кошторису</w:t>
            </w:r>
          </w:p>
        </w:tc>
        <w:tc>
          <w:tcPr>
            <w:tcW w:w="3373" w:type="dxa"/>
          </w:tcPr>
          <w:p w:rsidR="00594280" w:rsidRPr="006F5FC7" w:rsidRDefault="006F5FC7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Вплив на забезпеченість </w:t>
            </w:r>
            <w:proofErr w:type="spellStart"/>
            <w:r w:rsidRPr="006F5FC7">
              <w:rPr>
                <w:sz w:val="24"/>
                <w:szCs w:val="24"/>
                <w:lang w:val="uk-UA"/>
              </w:rPr>
              <w:t>ДЛ</w:t>
            </w:r>
            <w:proofErr w:type="spellEnd"/>
            <w:r w:rsidR="002D755E" w:rsidRPr="006F5FC7">
              <w:rPr>
                <w:sz w:val="24"/>
                <w:szCs w:val="24"/>
                <w:lang w:val="uk-UA"/>
              </w:rPr>
              <w:t xml:space="preserve"> фінансовими ресурсами в бюджетному періоді (дефіцит чи надлишкове фінансування)</w:t>
            </w:r>
          </w:p>
        </w:tc>
        <w:tc>
          <w:tcPr>
            <w:tcW w:w="3431" w:type="dxa"/>
          </w:tcPr>
          <w:p w:rsidR="00594280" w:rsidRPr="006F5FC7" w:rsidRDefault="002D755E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При затвердженні обсягів фінансування </w:t>
            </w:r>
            <w:r w:rsidR="006F5FC7" w:rsidRPr="006F5FC7">
              <w:rPr>
                <w:sz w:val="24"/>
                <w:szCs w:val="24"/>
                <w:lang w:val="uk-UA"/>
              </w:rPr>
              <w:t>лікарні</w:t>
            </w:r>
            <w:r w:rsidRPr="006F5FC7">
              <w:rPr>
                <w:sz w:val="24"/>
                <w:szCs w:val="24"/>
                <w:lang w:val="uk-UA"/>
              </w:rPr>
              <w:t xml:space="preserve">, здійснення впливу на забезпеченість </w:t>
            </w:r>
            <w:proofErr w:type="spellStart"/>
            <w:r w:rsidR="006F5FC7" w:rsidRPr="006F5FC7">
              <w:rPr>
                <w:sz w:val="24"/>
                <w:szCs w:val="24"/>
                <w:lang w:val="uk-UA"/>
              </w:rPr>
              <w:t>ДЛ</w:t>
            </w:r>
            <w:proofErr w:type="spellEnd"/>
            <w:r w:rsidR="006F5FC7" w:rsidRPr="006F5FC7">
              <w:rPr>
                <w:sz w:val="24"/>
                <w:szCs w:val="24"/>
                <w:lang w:val="uk-UA"/>
              </w:rPr>
              <w:t xml:space="preserve"> </w:t>
            </w:r>
            <w:r w:rsidRPr="006F5FC7">
              <w:rPr>
                <w:sz w:val="24"/>
                <w:szCs w:val="24"/>
                <w:lang w:val="uk-UA"/>
              </w:rPr>
              <w:t>фінансовими ресурсами в бюджетному періоді (дефіцит чи надлишкове фінансування)</w:t>
            </w:r>
          </w:p>
        </w:tc>
        <w:tc>
          <w:tcPr>
            <w:tcW w:w="4217" w:type="dxa"/>
          </w:tcPr>
          <w:p w:rsidR="00594280" w:rsidRPr="006F5FC7" w:rsidRDefault="002D755E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color w:val="000000"/>
                <w:sz w:val="24"/>
                <w:szCs w:val="24"/>
                <w:lang w:val="uk-UA"/>
              </w:rPr>
              <w:t xml:space="preserve">Диспропорція фінансування </w:t>
            </w:r>
            <w:r w:rsidR="006F5FC7" w:rsidRPr="006F5FC7">
              <w:rPr>
                <w:color w:val="000000"/>
                <w:sz w:val="24"/>
                <w:szCs w:val="24"/>
                <w:lang w:val="uk-UA"/>
              </w:rPr>
              <w:t>Державної лікарні МВС України в м. Кривий Ріг</w:t>
            </w:r>
            <w:r w:rsidRPr="006F5FC7">
              <w:rPr>
                <w:color w:val="000000"/>
                <w:sz w:val="24"/>
                <w:szCs w:val="24"/>
                <w:lang w:val="uk-UA"/>
              </w:rPr>
              <w:t>, неефективне використання коштів</w:t>
            </w:r>
          </w:p>
        </w:tc>
      </w:tr>
    </w:tbl>
    <w:p w:rsidR="002D755E" w:rsidRPr="006F5FC7" w:rsidRDefault="002D755E">
      <w:pPr>
        <w:rPr>
          <w:b/>
          <w:lang w:val="uk-UA"/>
        </w:rPr>
      </w:pPr>
      <w:r w:rsidRPr="006F5FC7">
        <w:rPr>
          <w:b/>
          <w:lang w:val="uk-UA"/>
        </w:rPr>
        <w:t xml:space="preserve">           2. Надання медичних послуг         </w:t>
      </w: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3373"/>
        <w:gridCol w:w="3402"/>
        <w:gridCol w:w="4253"/>
      </w:tblGrid>
      <w:tr w:rsidR="002D755E" w:rsidRPr="006F5FC7" w:rsidTr="006F5FC7">
        <w:tc>
          <w:tcPr>
            <w:tcW w:w="2977" w:type="dxa"/>
          </w:tcPr>
          <w:p w:rsidR="002D755E" w:rsidRPr="006F5FC7" w:rsidRDefault="002D755E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1. Ймовірність ризику зловживання в закладах охорони здоров’я </w:t>
            </w:r>
            <w:r w:rsidR="004C6CBE" w:rsidRPr="006F5FC7">
              <w:rPr>
                <w:sz w:val="24"/>
                <w:szCs w:val="24"/>
                <w:lang w:val="uk-UA"/>
              </w:rPr>
              <w:t xml:space="preserve">при призначенні та виділенні </w:t>
            </w:r>
            <w:r w:rsidRPr="006F5FC7">
              <w:rPr>
                <w:sz w:val="24"/>
                <w:szCs w:val="24"/>
                <w:lang w:val="uk-UA"/>
              </w:rPr>
              <w:t>безкоштовних ліків</w:t>
            </w:r>
          </w:p>
        </w:tc>
        <w:tc>
          <w:tcPr>
            <w:tcW w:w="3373" w:type="dxa"/>
          </w:tcPr>
          <w:p w:rsidR="002D755E" w:rsidRPr="006F5FC7" w:rsidRDefault="002D755E" w:rsidP="006F5FC7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Можливі зловживання медичними працівниками </w:t>
            </w:r>
            <w:proofErr w:type="spellStart"/>
            <w:r w:rsidR="006F5FC7" w:rsidRPr="006F5FC7">
              <w:rPr>
                <w:sz w:val="24"/>
                <w:szCs w:val="24"/>
                <w:lang w:val="uk-UA"/>
              </w:rPr>
              <w:t>ДЛ</w:t>
            </w:r>
            <w:proofErr w:type="spellEnd"/>
            <w:r w:rsidR="006F5FC7" w:rsidRPr="006F5FC7">
              <w:rPr>
                <w:sz w:val="24"/>
                <w:szCs w:val="24"/>
                <w:lang w:val="uk-UA"/>
              </w:rPr>
              <w:t xml:space="preserve"> </w:t>
            </w:r>
            <w:r w:rsidRPr="006F5FC7">
              <w:rPr>
                <w:sz w:val="24"/>
                <w:szCs w:val="24"/>
                <w:lang w:val="uk-UA"/>
              </w:rPr>
              <w:t xml:space="preserve"> при</w:t>
            </w:r>
            <w:r w:rsidR="006F5FC7" w:rsidRPr="006F5FC7">
              <w:rPr>
                <w:sz w:val="24"/>
                <w:szCs w:val="24"/>
                <w:lang w:val="uk-UA"/>
              </w:rPr>
              <w:t xml:space="preserve"> </w:t>
            </w:r>
            <w:r w:rsidRPr="006F5FC7">
              <w:rPr>
                <w:sz w:val="24"/>
                <w:szCs w:val="24"/>
                <w:lang w:val="uk-UA"/>
              </w:rPr>
              <w:t>забезпеченні</w:t>
            </w:r>
            <w:r w:rsidR="006F5FC7" w:rsidRPr="006F5FC7">
              <w:rPr>
                <w:sz w:val="24"/>
                <w:szCs w:val="24"/>
                <w:lang w:val="uk-UA"/>
              </w:rPr>
              <w:t xml:space="preserve"> </w:t>
            </w:r>
            <w:r w:rsidRPr="006F5FC7">
              <w:rPr>
                <w:sz w:val="24"/>
                <w:szCs w:val="24"/>
                <w:lang w:val="uk-UA"/>
              </w:rPr>
              <w:t>безкоштовними ліками осіб, які обслуговуються в закладах охорони здоров’я  та мають право на їх виділення згідно законодавства, в т.</w:t>
            </w:r>
            <w:r w:rsidR="004C6CBE" w:rsidRPr="006F5FC7">
              <w:rPr>
                <w:sz w:val="24"/>
                <w:szCs w:val="24"/>
                <w:lang w:val="uk-UA"/>
              </w:rPr>
              <w:t xml:space="preserve"> </w:t>
            </w:r>
            <w:r w:rsidRPr="006F5FC7">
              <w:rPr>
                <w:sz w:val="24"/>
                <w:szCs w:val="24"/>
                <w:lang w:val="uk-UA"/>
              </w:rPr>
              <w:t xml:space="preserve">ч. </w:t>
            </w:r>
            <w:r w:rsidR="006F5FC7" w:rsidRPr="006F5FC7">
              <w:rPr>
                <w:color w:val="000000"/>
                <w:sz w:val="24"/>
                <w:szCs w:val="24"/>
                <w:lang w:val="uk-UA"/>
              </w:rPr>
              <w:t xml:space="preserve">необґрунтоване </w:t>
            </w:r>
            <w:r w:rsidRPr="006F5FC7">
              <w:rPr>
                <w:color w:val="000000"/>
                <w:sz w:val="24"/>
                <w:szCs w:val="24"/>
                <w:lang w:val="uk-UA"/>
              </w:rPr>
              <w:t xml:space="preserve">перевищення потреби пацієнта в ліках з </w:t>
            </w:r>
            <w:r w:rsidRPr="006F5FC7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метою передачі препаратів іншим особам за винагороду, а також </w:t>
            </w:r>
            <w:r w:rsidRPr="006F5FC7">
              <w:rPr>
                <w:sz w:val="24"/>
                <w:szCs w:val="24"/>
                <w:lang w:val="uk-UA"/>
              </w:rPr>
              <w:t>в</w:t>
            </w:r>
            <w:r w:rsidRPr="006F5FC7">
              <w:rPr>
                <w:color w:val="000000"/>
                <w:sz w:val="24"/>
                <w:szCs w:val="24"/>
                <w:lang w:val="uk-UA"/>
              </w:rPr>
              <w:t>иписування рецептів на отримання безкоштовних ліків особам, які мають право на отримання державної допомоги з наступною їх видачою стороннім особам</w:t>
            </w:r>
            <w:r w:rsidR="004C6CBE" w:rsidRPr="006F5FC7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2D755E" w:rsidRPr="006F5FC7" w:rsidRDefault="002D755E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F64B7" w:rsidRPr="006F5FC7" w:rsidRDefault="004F64B7" w:rsidP="006F5FC7">
            <w:pPr>
              <w:tabs>
                <w:tab w:val="left" w:pos="342"/>
              </w:tabs>
              <w:spacing w:line="240" w:lineRule="atLeast"/>
              <w:ind w:left="59"/>
              <w:jc w:val="both"/>
              <w:rPr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lastRenderedPageBreak/>
              <w:t xml:space="preserve">Відсутність практики інформування осіб, які обслуговуються в закладах охорони здоров’я  та мають право на забезпечення безкоштовними ліками щодо наявності безкоштовних ліків та порядку їх отримання </w:t>
            </w:r>
          </w:p>
          <w:p w:rsidR="002D755E" w:rsidRPr="006F5FC7" w:rsidRDefault="002D755E" w:rsidP="006F5FC7">
            <w:pPr>
              <w:spacing w:line="240" w:lineRule="atLeast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D755E" w:rsidRPr="006F5FC7" w:rsidRDefault="004F64B7" w:rsidP="006F5FC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Отримання безкоштовних ліків особами, які відповідно до законодавства не мають на це право; вчинення корупційного правопорушення чи правопорушення, пов’язаного з корупцією; втрата репутації серед осіб, які звертаються  за наданням медичних послуг </w:t>
            </w:r>
            <w:r w:rsidR="00065E57" w:rsidRPr="006F5FC7">
              <w:rPr>
                <w:sz w:val="24"/>
                <w:szCs w:val="24"/>
                <w:lang w:val="uk-UA"/>
              </w:rPr>
              <w:t>до закладів охорони здоров’я</w:t>
            </w:r>
            <w:r w:rsidRPr="006F5FC7">
              <w:rPr>
                <w:sz w:val="24"/>
                <w:szCs w:val="24"/>
                <w:lang w:val="uk-UA"/>
              </w:rPr>
              <w:t>.</w:t>
            </w:r>
          </w:p>
        </w:tc>
      </w:tr>
      <w:tr w:rsidR="002D755E" w:rsidRPr="006F5FC7" w:rsidTr="006F5FC7">
        <w:tc>
          <w:tcPr>
            <w:tcW w:w="2977" w:type="dxa"/>
          </w:tcPr>
          <w:p w:rsidR="002D755E" w:rsidRDefault="004F64B7" w:rsidP="006F5FC7">
            <w:pPr>
              <w:pStyle w:val="Default"/>
              <w:jc w:val="both"/>
            </w:pPr>
            <w:r w:rsidRPr="006F5FC7">
              <w:lastRenderedPageBreak/>
              <w:t xml:space="preserve">2. Наявність можливого конфлікту інтересів у працівника, який надає медичні послуги в </w:t>
            </w:r>
            <w:r w:rsidR="006F5FC7" w:rsidRPr="006F5FC7">
              <w:t>лікарні</w:t>
            </w:r>
            <w:r w:rsidRPr="006F5FC7">
              <w:t xml:space="preserve">,  шляхом видачі листків непрацездатності, направлень на госпіталізацію тощо особам, які пов’язані із працівником приватним інтересом, а також у зв’язку із здійсненням за напрямом діяльності контрольно-наглядових функцій в межах </w:t>
            </w:r>
            <w:proofErr w:type="spellStart"/>
            <w:r w:rsidR="006F5FC7" w:rsidRPr="006F5FC7">
              <w:t>ДЛ</w:t>
            </w:r>
            <w:proofErr w:type="spellEnd"/>
            <w:r w:rsidRPr="006F5FC7">
              <w:t xml:space="preserve">, де працює особа, або щодо інших закладів та установ, що надають медичні послуги в </w:t>
            </w:r>
            <w:r w:rsidR="006F5FC7" w:rsidRPr="006F5FC7">
              <w:t>лікарні</w:t>
            </w:r>
            <w:r w:rsidRPr="006F5FC7">
              <w:t xml:space="preserve"> у зв’язку з роботою в них осіб,</w:t>
            </w:r>
            <w:r w:rsidR="00447384" w:rsidRPr="006F5FC7">
              <w:t xml:space="preserve"> </w:t>
            </w:r>
            <w:r w:rsidRPr="006F5FC7">
              <w:t>які пов’язані із працівником приватним інтересом</w:t>
            </w:r>
          </w:p>
          <w:p w:rsidR="006F5FC7" w:rsidRDefault="006F5FC7" w:rsidP="006F5FC7">
            <w:pPr>
              <w:pStyle w:val="Default"/>
              <w:jc w:val="both"/>
            </w:pPr>
          </w:p>
          <w:p w:rsidR="006F5FC7" w:rsidRPr="006F5FC7" w:rsidRDefault="006F5FC7" w:rsidP="006F5FC7">
            <w:pPr>
              <w:pStyle w:val="Default"/>
              <w:jc w:val="both"/>
            </w:pPr>
          </w:p>
        </w:tc>
        <w:tc>
          <w:tcPr>
            <w:tcW w:w="3373" w:type="dxa"/>
          </w:tcPr>
          <w:p w:rsidR="002D755E" w:rsidRPr="006F5FC7" w:rsidRDefault="004F64B7">
            <w:pPr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sz w:val="24"/>
                <w:szCs w:val="24"/>
                <w:lang w:val="uk-UA"/>
              </w:rPr>
              <w:t>Наявність потенційного конфлікту інтересів може вплинути на об’єктивність чи неупередженість прийняття працівником рішень, або на вчинення чи невчинення дій під час виконання обов’язків щодо надання медичних послуг та/або здійснення за напрямом діяльності контрольно-наглядових функцій</w:t>
            </w:r>
          </w:p>
        </w:tc>
        <w:tc>
          <w:tcPr>
            <w:tcW w:w="3402" w:type="dxa"/>
          </w:tcPr>
          <w:p w:rsidR="004F64B7" w:rsidRPr="006F5FC7" w:rsidRDefault="004F64B7" w:rsidP="004F64B7">
            <w:pPr>
              <w:pStyle w:val="Default"/>
              <w:jc w:val="both"/>
            </w:pPr>
            <w:r w:rsidRPr="006F5FC7">
              <w:t>Неврахування під час закріплення за працівником обов’язків щодо здійснення за напрямом службової діяльності контрольно-наглядових функцій наявності у нього потенційного конфлікту інтересів. Створення ситуації реального конфлікту інтересів</w:t>
            </w:r>
          </w:p>
          <w:p w:rsidR="002D755E" w:rsidRPr="006F5FC7" w:rsidRDefault="002D755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D755E" w:rsidRPr="006F5FC7" w:rsidRDefault="004F64B7">
            <w:pPr>
              <w:rPr>
                <w:b/>
                <w:sz w:val="24"/>
                <w:szCs w:val="24"/>
                <w:lang w:val="uk-UA"/>
              </w:rPr>
            </w:pPr>
            <w:r w:rsidRPr="006F5FC7">
              <w:rPr>
                <w:color w:val="000000"/>
                <w:sz w:val="24"/>
                <w:szCs w:val="24"/>
                <w:lang w:val="uk-UA"/>
              </w:rPr>
              <w:t>Фінансові втрати не очікуються; втрата репутації серед працівників органу влади; вчинення правопорушення, пов’язаного з корупцією</w:t>
            </w:r>
          </w:p>
        </w:tc>
      </w:tr>
      <w:tr w:rsidR="00E0042C" w:rsidRPr="006F5FC7" w:rsidTr="006F5FC7">
        <w:tc>
          <w:tcPr>
            <w:tcW w:w="2977" w:type="dxa"/>
          </w:tcPr>
          <w:p w:rsidR="006F5FC7" w:rsidRDefault="00392DBC" w:rsidP="006F5FC7">
            <w:pPr>
              <w:spacing w:after="160"/>
              <w:ind w:left="5" w:hanging="5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F5FC7">
              <w:rPr>
                <w:rFonts w:eastAsiaTheme="minorHAnsi"/>
                <w:sz w:val="24"/>
                <w:szCs w:val="24"/>
                <w:lang w:val="uk-UA" w:eastAsia="en-US"/>
              </w:rPr>
              <w:t xml:space="preserve">3. </w:t>
            </w:r>
            <w:r w:rsidR="00E0042C" w:rsidRPr="006F5FC7">
              <w:rPr>
                <w:rFonts w:eastAsiaTheme="minorHAnsi"/>
                <w:sz w:val="24"/>
                <w:szCs w:val="24"/>
                <w:lang w:val="uk-UA" w:eastAsia="en-US"/>
              </w:rPr>
              <w:t>Запобігання проявам зловживання владою та службовим становищем під час видачи медичних довідок окремим категоріям громадян.</w:t>
            </w:r>
            <w:r w:rsidR="006F5FC7">
              <w:rPr>
                <w:rFonts w:eastAsiaTheme="minorHAnsi"/>
                <w:sz w:val="24"/>
                <w:szCs w:val="24"/>
                <w:lang w:val="uk-UA" w:eastAsia="en-US"/>
              </w:rPr>
              <w:t xml:space="preserve">   </w:t>
            </w:r>
          </w:p>
          <w:p w:rsidR="00E0042C" w:rsidRPr="006F5FC7" w:rsidRDefault="00E0042C" w:rsidP="006F5FC7">
            <w:pPr>
              <w:spacing w:after="160"/>
              <w:ind w:left="5" w:hanging="5"/>
              <w:jc w:val="both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6F5FC7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Створення можливості для хабарництва та зловживання при прискоренні одержання медичної довідки.</w:t>
            </w:r>
          </w:p>
          <w:p w:rsidR="00E0042C" w:rsidRPr="006F5FC7" w:rsidRDefault="00E0042C" w:rsidP="006F5FC7">
            <w:pPr>
              <w:pStyle w:val="Default"/>
              <w:jc w:val="both"/>
            </w:pPr>
            <w:r w:rsidRPr="006F5FC7">
              <w:rPr>
                <w:rFonts w:eastAsiaTheme="minorHAnsi"/>
              </w:rPr>
              <w:t xml:space="preserve">Вищезазначене спричиняє велику вірогідність помилок зі сторони заявників, що може породжувати правопорушення чи правопорушення, пов’язані з корупцією, в самій </w:t>
            </w:r>
            <w:proofErr w:type="spellStart"/>
            <w:r w:rsidR="006F5FC7">
              <w:rPr>
                <w:rFonts w:eastAsiaTheme="minorHAnsi"/>
              </w:rPr>
              <w:t>ДЛ</w:t>
            </w:r>
            <w:proofErr w:type="spellEnd"/>
            <w:r w:rsidR="006F5FC7">
              <w:rPr>
                <w:rFonts w:eastAsiaTheme="minorHAnsi"/>
              </w:rPr>
              <w:t>.</w:t>
            </w:r>
          </w:p>
        </w:tc>
        <w:tc>
          <w:tcPr>
            <w:tcW w:w="3373" w:type="dxa"/>
          </w:tcPr>
          <w:p w:rsidR="00E0042C" w:rsidRPr="006F5FC7" w:rsidRDefault="00526D31" w:rsidP="00E0042C">
            <w:pPr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F5FC7">
              <w:rPr>
                <w:sz w:val="24"/>
                <w:szCs w:val="24"/>
                <w:lang w:val="uk-UA"/>
              </w:rPr>
              <w:t xml:space="preserve">Наявність потенційного конфлікту інтересів може вплинути на об’єктивність чи неупередженість прийняття працівником рішень, або на вчинення чи невчинення дій під час виконання обов’язків щодо </w:t>
            </w:r>
            <w:r w:rsidR="00392DBC" w:rsidRPr="006F5FC7">
              <w:rPr>
                <w:sz w:val="24"/>
                <w:szCs w:val="24"/>
                <w:lang w:val="uk-UA"/>
              </w:rPr>
              <w:t>видачи</w:t>
            </w:r>
            <w:r w:rsidRPr="006F5FC7">
              <w:rPr>
                <w:sz w:val="24"/>
                <w:szCs w:val="24"/>
                <w:lang w:val="uk-UA"/>
              </w:rPr>
              <w:t xml:space="preserve"> медичних</w:t>
            </w:r>
            <w:r w:rsidR="00392DBC" w:rsidRPr="006F5FC7">
              <w:rPr>
                <w:sz w:val="24"/>
                <w:szCs w:val="24"/>
                <w:lang w:val="uk-UA"/>
              </w:rPr>
              <w:t xml:space="preserve"> довідок</w:t>
            </w:r>
            <w:r w:rsidRPr="006F5FC7">
              <w:rPr>
                <w:sz w:val="24"/>
                <w:szCs w:val="24"/>
                <w:lang w:val="uk-UA"/>
              </w:rPr>
              <w:t xml:space="preserve"> </w:t>
            </w:r>
            <w:r w:rsidR="00E0042C" w:rsidRPr="006F5FC7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Забезпечити проведення, з лікарями та членами медичних комісій </w:t>
            </w:r>
            <w:r w:rsidR="006F5FC7">
              <w:rPr>
                <w:rFonts w:eastAsiaTheme="minorHAnsi"/>
                <w:sz w:val="24"/>
                <w:szCs w:val="24"/>
                <w:lang w:val="uk-UA" w:eastAsia="en-US"/>
              </w:rPr>
              <w:t>лікарні</w:t>
            </w:r>
            <w:r w:rsidR="00E0042C" w:rsidRPr="006F5FC7">
              <w:rPr>
                <w:rFonts w:eastAsiaTheme="minorHAnsi"/>
                <w:sz w:val="24"/>
                <w:szCs w:val="24"/>
                <w:lang w:val="uk-UA" w:eastAsia="en-US"/>
              </w:rPr>
              <w:t>:</w:t>
            </w:r>
          </w:p>
          <w:p w:rsidR="00E0042C" w:rsidRPr="006F5FC7" w:rsidRDefault="00E0042C" w:rsidP="00E0042C">
            <w:pPr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F5FC7">
              <w:rPr>
                <w:rFonts w:eastAsiaTheme="minorHAnsi"/>
                <w:sz w:val="24"/>
                <w:szCs w:val="24"/>
                <w:lang w:val="uk-UA" w:eastAsia="en-US"/>
              </w:rPr>
              <w:t>- для видачі медичних довідок на право керування авто-мототранспортом;</w:t>
            </w:r>
          </w:p>
          <w:p w:rsidR="00E0042C" w:rsidRPr="006F5FC7" w:rsidRDefault="00E0042C" w:rsidP="00E0042C">
            <w:pPr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F5FC7">
              <w:rPr>
                <w:rFonts w:eastAsiaTheme="minorHAnsi"/>
                <w:sz w:val="24"/>
                <w:szCs w:val="24"/>
                <w:lang w:val="uk-UA" w:eastAsia="en-US"/>
              </w:rPr>
              <w:t>- для видачи медичних довідок для отримання дозволу (ліцензії) на об’єкт дозвільної системи та лікарняних листів, роз’яснювальної роботи (інструктажів) щодо дотримання вимог антикорупційного законодавства</w:t>
            </w:r>
            <w:r w:rsidR="006F5FC7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  <w:p w:rsidR="00E0042C" w:rsidRDefault="00E0042C">
            <w:pPr>
              <w:rPr>
                <w:sz w:val="24"/>
                <w:szCs w:val="24"/>
                <w:lang w:val="uk-UA"/>
              </w:rPr>
            </w:pPr>
          </w:p>
          <w:p w:rsidR="006F5FC7" w:rsidRDefault="006F5FC7">
            <w:pPr>
              <w:rPr>
                <w:sz w:val="24"/>
                <w:szCs w:val="24"/>
                <w:lang w:val="uk-UA"/>
              </w:rPr>
            </w:pPr>
          </w:p>
          <w:p w:rsidR="006F5FC7" w:rsidRDefault="006F5FC7">
            <w:pPr>
              <w:rPr>
                <w:sz w:val="24"/>
                <w:szCs w:val="24"/>
                <w:lang w:val="uk-UA"/>
              </w:rPr>
            </w:pPr>
          </w:p>
          <w:p w:rsidR="006F5FC7" w:rsidRDefault="006F5FC7">
            <w:pPr>
              <w:rPr>
                <w:sz w:val="24"/>
                <w:szCs w:val="24"/>
                <w:lang w:val="uk-UA"/>
              </w:rPr>
            </w:pPr>
          </w:p>
          <w:p w:rsidR="006F5FC7" w:rsidRPr="006F5FC7" w:rsidRDefault="006F5F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92DBC" w:rsidRPr="006F5FC7" w:rsidRDefault="00392DBC" w:rsidP="00392DBC">
            <w:pPr>
              <w:pStyle w:val="Default"/>
              <w:jc w:val="both"/>
            </w:pPr>
            <w:r w:rsidRPr="006F5FC7">
              <w:t>Неврахування під час закріплення за працівником обов’язків щодо здійснення за напрямом службової діяльності контрольно-наглядових функцій наявності у нього потенційного конфлікту інтересів. Створення ситуації реального конфлікту інтересів</w:t>
            </w:r>
          </w:p>
          <w:p w:rsidR="00E0042C" w:rsidRPr="006F5FC7" w:rsidRDefault="00E0042C" w:rsidP="00904B51">
            <w:pPr>
              <w:tabs>
                <w:tab w:val="left" w:pos="342"/>
              </w:tabs>
              <w:spacing w:line="240" w:lineRule="atLeast"/>
              <w:ind w:left="6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BF60B2" w:rsidRPr="006F5FC7" w:rsidRDefault="00BF60B2" w:rsidP="00BF60B2">
            <w:pPr>
              <w:rPr>
                <w:color w:val="000000"/>
                <w:sz w:val="24"/>
                <w:szCs w:val="24"/>
                <w:lang w:val="uk-UA"/>
              </w:rPr>
            </w:pPr>
            <w:r w:rsidRPr="006F5FC7">
              <w:rPr>
                <w:color w:val="000000"/>
                <w:sz w:val="24"/>
                <w:szCs w:val="24"/>
                <w:lang w:val="uk-UA"/>
              </w:rPr>
              <w:t xml:space="preserve">Втрата репутації серед громадян, які звертаються до </w:t>
            </w:r>
            <w:proofErr w:type="spellStart"/>
            <w:r w:rsidR="006F5FC7">
              <w:rPr>
                <w:color w:val="000000"/>
                <w:sz w:val="24"/>
                <w:szCs w:val="24"/>
                <w:lang w:val="uk-UA"/>
              </w:rPr>
              <w:t>ДЛ</w:t>
            </w:r>
            <w:proofErr w:type="spellEnd"/>
            <w:r w:rsidRPr="006F5FC7">
              <w:rPr>
                <w:color w:val="000000"/>
                <w:sz w:val="24"/>
                <w:szCs w:val="24"/>
                <w:lang w:val="uk-UA"/>
              </w:rPr>
              <w:t xml:space="preserve"> для отримання послуг.</w:t>
            </w:r>
          </w:p>
          <w:p w:rsidR="00BF60B2" w:rsidRPr="006F5FC7" w:rsidRDefault="00BF60B2" w:rsidP="00BF60B2">
            <w:pPr>
              <w:spacing w:line="240" w:lineRule="atLeast"/>
              <w:rPr>
                <w:color w:val="000000"/>
                <w:sz w:val="24"/>
                <w:szCs w:val="24"/>
                <w:lang w:val="uk-UA"/>
              </w:rPr>
            </w:pPr>
            <w:r w:rsidRPr="006F5FC7">
              <w:rPr>
                <w:color w:val="000000"/>
                <w:sz w:val="24"/>
                <w:szCs w:val="24"/>
                <w:lang w:val="uk-UA"/>
              </w:rPr>
              <w:t>Вчинення дисциплінарного та</w:t>
            </w:r>
            <w:r w:rsidRPr="006F5FC7">
              <w:rPr>
                <w:color w:val="000000"/>
                <w:sz w:val="24"/>
                <w:szCs w:val="24"/>
              </w:rPr>
              <w:t>/</w:t>
            </w:r>
            <w:r w:rsidRPr="006F5FC7">
              <w:rPr>
                <w:color w:val="000000"/>
                <w:sz w:val="24"/>
                <w:szCs w:val="24"/>
                <w:lang w:val="uk-UA"/>
              </w:rPr>
              <w:t>або адміністративного правопорушення.</w:t>
            </w:r>
          </w:p>
          <w:p w:rsidR="00E0042C" w:rsidRPr="006F5FC7" w:rsidRDefault="00BF60B2" w:rsidP="00BF60B2">
            <w:pPr>
              <w:rPr>
                <w:color w:val="000000"/>
                <w:sz w:val="24"/>
                <w:szCs w:val="24"/>
                <w:lang w:val="uk-UA"/>
              </w:rPr>
            </w:pPr>
            <w:r w:rsidRPr="006F5FC7">
              <w:rPr>
                <w:color w:val="000000"/>
                <w:sz w:val="24"/>
                <w:szCs w:val="24"/>
                <w:lang w:val="uk-UA"/>
              </w:rPr>
              <w:t>Вчинення корупційного правопорушення</w:t>
            </w:r>
          </w:p>
        </w:tc>
      </w:tr>
    </w:tbl>
    <w:p w:rsidR="004F64B7" w:rsidRDefault="004F64B7">
      <w:pPr>
        <w:rPr>
          <w:b/>
          <w:lang w:val="uk-UA"/>
        </w:rPr>
      </w:pPr>
      <w:r>
        <w:rPr>
          <w:b/>
          <w:lang w:val="uk-UA"/>
        </w:rPr>
        <w:t xml:space="preserve">           3. </w:t>
      </w:r>
      <w:r w:rsidR="006B2904">
        <w:rPr>
          <w:b/>
          <w:lang w:val="uk-UA"/>
        </w:rPr>
        <w:t>Публічні закупівлі</w:t>
      </w:r>
    </w:p>
    <w:tbl>
      <w:tblPr>
        <w:tblStyle w:val="a3"/>
        <w:tblW w:w="0" w:type="auto"/>
        <w:tblInd w:w="562" w:type="dxa"/>
        <w:tblLook w:val="04A0"/>
      </w:tblPr>
      <w:tblGrid>
        <w:gridCol w:w="2948"/>
        <w:gridCol w:w="3402"/>
        <w:gridCol w:w="3402"/>
        <w:gridCol w:w="4472"/>
      </w:tblGrid>
      <w:tr w:rsidR="00904B51" w:rsidRPr="00BF60B2" w:rsidTr="00067588">
        <w:tc>
          <w:tcPr>
            <w:tcW w:w="2948" w:type="dxa"/>
          </w:tcPr>
          <w:p w:rsidR="00904B51" w:rsidRPr="003702DC" w:rsidRDefault="003702DC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>1.</w:t>
            </w:r>
            <w:r w:rsidR="00AE0AE8" w:rsidRPr="003702DC">
              <w:rPr>
                <w:color w:val="000000"/>
                <w:sz w:val="24"/>
                <w:szCs w:val="24"/>
                <w:lang w:val="uk-UA"/>
              </w:rPr>
              <w:t>Ймовірність упередженого розгляду установами (Замовниками) системи МВС тендерних пропозицій учасників</w:t>
            </w:r>
          </w:p>
        </w:tc>
        <w:tc>
          <w:tcPr>
            <w:tcW w:w="3402" w:type="dxa"/>
          </w:tcPr>
          <w:p w:rsidR="00904B51" w:rsidRPr="003702DC" w:rsidRDefault="00AE0AE8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 xml:space="preserve">За результатами розгляду тендерних пропозицій учасників, які визначені електронною системою закупівель </w:t>
            </w:r>
            <w:r w:rsidRPr="003702DC">
              <w:rPr>
                <w:color w:val="000000"/>
                <w:sz w:val="24"/>
                <w:szCs w:val="24"/>
                <w:lang w:val="en-US"/>
              </w:rPr>
              <w:t>ProZorro</w:t>
            </w:r>
            <w:r w:rsidRPr="003702DC">
              <w:rPr>
                <w:color w:val="000000"/>
                <w:sz w:val="24"/>
                <w:szCs w:val="24"/>
                <w:lang w:val="uk-UA"/>
              </w:rPr>
              <w:t xml:space="preserve"> найбільш економічно вигідними, Замовник відхилив їх та визначив переможцем торгів учасника, пропозиція якого також мала бути відхилена за аналогічне порушення та була найдорожчою</w:t>
            </w:r>
          </w:p>
        </w:tc>
        <w:tc>
          <w:tcPr>
            <w:tcW w:w="3402" w:type="dxa"/>
          </w:tcPr>
          <w:p w:rsidR="00904B51" w:rsidRPr="003702DC" w:rsidRDefault="00AE0AE8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>Недоброчесність окремих членів тендерного комітету Замовника, можливий приватний інтерес</w:t>
            </w:r>
            <w:r w:rsidRPr="003702D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72" w:type="dxa"/>
          </w:tcPr>
          <w:p w:rsidR="00904B51" w:rsidRPr="003702DC" w:rsidRDefault="00AE0AE8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 xml:space="preserve">Порушення законодавства у сфері закупівель. Неефективне (зайве) використання коштів державного бюджету. Негативний вплив на імідж </w:t>
            </w:r>
            <w:r w:rsidR="003702DC" w:rsidRPr="003702DC">
              <w:rPr>
                <w:color w:val="000000"/>
                <w:sz w:val="24"/>
                <w:szCs w:val="24"/>
                <w:lang w:val="uk-UA"/>
              </w:rPr>
              <w:t>лікарні</w:t>
            </w:r>
          </w:p>
        </w:tc>
      </w:tr>
      <w:tr w:rsidR="00904B51" w:rsidTr="003702DC">
        <w:tc>
          <w:tcPr>
            <w:tcW w:w="2948" w:type="dxa"/>
            <w:tcBorders>
              <w:bottom w:val="single" w:sz="4" w:space="0" w:color="auto"/>
            </w:tcBorders>
          </w:tcPr>
          <w:p w:rsidR="00904B51" w:rsidRPr="003702DC" w:rsidRDefault="00AE0AE8" w:rsidP="00776387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>2. Ймовірність уникнення Замовником проведення процедури відкритих торгів закупівель шляхом поділу предмета закупівлі на частини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AE8" w:rsidRPr="003702DC" w:rsidRDefault="00AE0AE8" w:rsidP="003702DC">
            <w:pPr>
              <w:spacing w:line="24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>Замовник уклав з конкретним постачальником окремі договори на закупівлю товарів і послуг на суми, що сукупно перевищують встановлені частиною першою статті 2 Закону вартісні межі (200 тис. грн.). З метою уникнення перевищення вартісних меж у 200 тис. грн. Замовник визначив декілька предметів закупівель за різними кодами єдиного закупівельного словника ДК 2015, що за суттю та змістом не відповідають товару, який є предметом договору.</w:t>
            </w:r>
          </w:p>
          <w:p w:rsidR="003702DC" w:rsidRDefault="003702DC" w:rsidP="00EA3B2A">
            <w:pPr>
              <w:rPr>
                <w:sz w:val="24"/>
                <w:szCs w:val="24"/>
                <w:lang w:val="uk-UA"/>
              </w:rPr>
            </w:pPr>
          </w:p>
          <w:p w:rsidR="003702DC" w:rsidRPr="003702DC" w:rsidRDefault="003702DC" w:rsidP="00EA3B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4B51" w:rsidRPr="003702DC" w:rsidRDefault="00AE0AE8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>Недоброчесність окремих членів тендерного комітету Замовника, можливий приватний інтерес</w:t>
            </w:r>
            <w:r w:rsidR="00904B51" w:rsidRPr="003702D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EA3B2A" w:rsidRPr="003702DC" w:rsidRDefault="00AE0AE8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color w:val="000000"/>
                <w:sz w:val="24"/>
                <w:szCs w:val="24"/>
                <w:lang w:val="uk-UA"/>
              </w:rPr>
              <w:t xml:space="preserve">Порушення законодавства у сфері закупівель. Неефективне (зайве) використання коштів державного бюджету. Негативний вплив на імідж </w:t>
            </w:r>
            <w:r w:rsidR="003702DC">
              <w:rPr>
                <w:color w:val="000000"/>
                <w:sz w:val="24"/>
                <w:szCs w:val="24"/>
                <w:lang w:val="uk-UA"/>
              </w:rPr>
              <w:t>лікарні.</w:t>
            </w:r>
          </w:p>
        </w:tc>
      </w:tr>
    </w:tbl>
    <w:p w:rsidR="003702DC" w:rsidRDefault="003702DC">
      <w:r>
        <w:br w:type="page"/>
      </w:r>
    </w:p>
    <w:tbl>
      <w:tblPr>
        <w:tblStyle w:val="a3"/>
        <w:tblW w:w="0" w:type="auto"/>
        <w:tblInd w:w="562" w:type="dxa"/>
        <w:tblLook w:val="04A0"/>
      </w:tblPr>
      <w:tblGrid>
        <w:gridCol w:w="2948"/>
        <w:gridCol w:w="3402"/>
        <w:gridCol w:w="3402"/>
        <w:gridCol w:w="4472"/>
      </w:tblGrid>
      <w:tr w:rsidR="003702DC" w:rsidTr="00E10679">
        <w:tc>
          <w:tcPr>
            <w:tcW w:w="14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DC" w:rsidRDefault="003702DC">
            <w:r w:rsidRPr="003702DC">
              <w:rPr>
                <w:b/>
                <w:sz w:val="24"/>
                <w:szCs w:val="24"/>
                <w:lang w:val="uk-UA"/>
              </w:rPr>
              <w:t>4. Управління персоналом</w:t>
            </w:r>
          </w:p>
        </w:tc>
      </w:tr>
      <w:tr w:rsidR="003702DC" w:rsidRPr="003702DC" w:rsidTr="003702DC">
        <w:tc>
          <w:tcPr>
            <w:tcW w:w="2948" w:type="dxa"/>
            <w:tcBorders>
              <w:top w:val="single" w:sz="4" w:space="0" w:color="auto"/>
            </w:tcBorders>
          </w:tcPr>
          <w:p w:rsidR="003702DC" w:rsidRPr="003702DC" w:rsidRDefault="003702DC" w:rsidP="003702D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1. Можливе прийняття на посади осіб, які не відповідають встановленим вимогам, або тих, які подали недостовірні відомості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Для переможців конкурсу на посади державної служби категорії «В» законодавством не визначено обов’язку щодо проведення спеціальної перевірки стосовно таких осіб.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 xml:space="preserve">Така ситуація може спричинити прийняття на державну службу на посади категорії «В» осіб, які мають, зокрема, підроблені документи про освіту, або подали недостовірні відомості  </w:t>
            </w:r>
          </w:p>
          <w:p w:rsidR="003702DC" w:rsidRPr="003702DC" w:rsidRDefault="003702DC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Відсутність закріпленої на законодавчому рівні норми щодо обов’язковості проведення спеціальної перевірки для кандидатів на посади державної служби категорії «В».</w:t>
            </w:r>
          </w:p>
          <w:p w:rsidR="003702DC" w:rsidRDefault="003702DC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Відсутність можливості у кадрової служби державного органу доступу до відповідних реєстрів та баз даних з метою перевірки наданих претендентами документів</w:t>
            </w:r>
          </w:p>
          <w:p w:rsid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D6F2D" w:rsidRP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3702DC" w:rsidRPr="003702DC" w:rsidRDefault="003702DC" w:rsidP="003702DC">
            <w:pPr>
              <w:spacing w:line="240" w:lineRule="atLeast"/>
              <w:ind w:right="-8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Прийняття на посади осіб, які не відповідають отримання неправомірної вигоди за прийняття рішення про призначення таких осіб.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702DC">
              <w:rPr>
                <w:sz w:val="24"/>
                <w:szCs w:val="24"/>
                <w:lang w:val="uk-UA"/>
              </w:rPr>
              <w:t>Прийняття на роботу некваліфікованих працівників встановленим вимогам,</w:t>
            </w:r>
          </w:p>
        </w:tc>
      </w:tr>
      <w:tr w:rsidR="003702DC" w:rsidRPr="003702DC" w:rsidTr="00067588">
        <w:tc>
          <w:tcPr>
            <w:tcW w:w="2948" w:type="dxa"/>
          </w:tcPr>
          <w:p w:rsidR="003702DC" w:rsidRDefault="003702DC" w:rsidP="003702DC">
            <w:pPr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702DC">
              <w:rPr>
                <w:sz w:val="24"/>
                <w:szCs w:val="24"/>
                <w:lang w:val="uk-UA"/>
              </w:rPr>
              <w:t>Можливий вплив посадових осіб на процедуру відбору персоналу з метою сприяння прийняттю на роботу, переміщенню по службі (підвищення на посаді, пониження на посаді, переведення в інший підрозділ, у т.ч. третіх осіб) близьких їм осіб</w:t>
            </w:r>
          </w:p>
          <w:p w:rsid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D6F2D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D6F2D" w:rsidRPr="003702DC" w:rsidRDefault="00BD6F2D" w:rsidP="003702D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Зацікавленість посадової особи щодо прийняття на роботу близьких осіб.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Неповідомлення посадової особи про конфлікт інтересів при прийнятті на роботу.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Така ситуація може спричинити прийняття на посаду близьких посадовій особі осіб, у тому числі некваліфікованих працівників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Недосконалість нормативно-правового регулювання кадрової роботи щодо процедури добору персоналу на різні категорії посад за уніфікованими формами кадрових документів у всіх підрозділах та за всіма напрямами роботи</w:t>
            </w:r>
          </w:p>
        </w:tc>
        <w:tc>
          <w:tcPr>
            <w:tcW w:w="4472" w:type="dxa"/>
          </w:tcPr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Прийняття на посади осіб, близьких посадовим особам, отримання неправомірної вигоди за прийняття рішення про призначення таких осіб.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Прийняття на роботу некваліфікованих працівників</w:t>
            </w:r>
          </w:p>
          <w:p w:rsidR="003702DC" w:rsidRPr="003702DC" w:rsidRDefault="003702DC" w:rsidP="003702DC">
            <w:pPr>
              <w:spacing w:line="240" w:lineRule="atLeast"/>
              <w:ind w:right="-8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702DC" w:rsidRPr="003702DC" w:rsidTr="00067588">
        <w:tc>
          <w:tcPr>
            <w:tcW w:w="2948" w:type="dxa"/>
          </w:tcPr>
          <w:p w:rsidR="003702DC" w:rsidRPr="003702DC" w:rsidRDefault="003702DC" w:rsidP="00BD6F2D">
            <w:pPr>
              <w:tabs>
                <w:tab w:val="left" w:pos="1613"/>
              </w:tabs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3.</w:t>
            </w:r>
            <w:r w:rsidR="00BD6F2D">
              <w:rPr>
                <w:sz w:val="24"/>
                <w:szCs w:val="24"/>
                <w:lang w:val="uk-UA"/>
              </w:rPr>
              <w:t xml:space="preserve"> </w:t>
            </w:r>
            <w:r w:rsidRPr="003702DC">
              <w:rPr>
                <w:sz w:val="24"/>
                <w:szCs w:val="24"/>
                <w:lang w:val="uk-UA"/>
              </w:rPr>
              <w:t>Уразливість співробітників підрозділів кадрового забезпечення та уповноважених співробітників підрозділів, органів, закладів та установ МВС до впливу керівництва, а також сторонніх осіб на порядок та результати здійснення заходів з питань кадрового забезпечення</w:t>
            </w:r>
          </w:p>
        </w:tc>
        <w:tc>
          <w:tcPr>
            <w:tcW w:w="3402" w:type="dxa"/>
          </w:tcPr>
          <w:p w:rsidR="003702DC" w:rsidRPr="003702DC" w:rsidRDefault="003702DC" w:rsidP="00370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Уразливість співробітників підрозділів кадрового забезпечення та уповноважених співробітників підрозділів, органів, закладів та установ МВС до впливу сторонніх осіб надає можливість прийняття незаконних рішень.</w:t>
            </w:r>
          </w:p>
          <w:p w:rsidR="003702DC" w:rsidRPr="003702DC" w:rsidRDefault="003702DC" w:rsidP="00370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Неналежне виконання службових повноважень особами, які здійснюють вивчення або перевірку кандидатів на посади.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Можливе отримання неправомірної вигоди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02DC" w:rsidRPr="003702DC" w:rsidRDefault="003702DC" w:rsidP="00370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Недостатній рівень компетентності співробітників щодо чинних антикорупційних обмежень при виконанні обов’язків, передбачених антикорупційним законодавством.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Недостатній рівень контролю за діяльністю посадових (службових) осіб.</w:t>
            </w:r>
          </w:p>
        </w:tc>
        <w:tc>
          <w:tcPr>
            <w:tcW w:w="4472" w:type="dxa"/>
          </w:tcPr>
          <w:p w:rsidR="003702DC" w:rsidRPr="003702DC" w:rsidRDefault="003702DC" w:rsidP="00370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Необ’єктивність під час прийняття кадрових рішень, отримання неправомірної вигоди.</w:t>
            </w:r>
          </w:p>
          <w:p w:rsidR="003702DC" w:rsidRPr="003702DC" w:rsidRDefault="003702DC" w:rsidP="00370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702DC">
              <w:rPr>
                <w:sz w:val="24"/>
                <w:szCs w:val="24"/>
                <w:lang w:val="uk-UA"/>
              </w:rPr>
              <w:t>Упереджений підхід при вирішенні питань кадрового забезпечення та/або соціального захисту внаслідок зловживання повноваженнями та/або статусом.</w:t>
            </w:r>
          </w:p>
          <w:p w:rsidR="003702DC" w:rsidRPr="003702DC" w:rsidRDefault="003702DC" w:rsidP="003702DC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F64B7" w:rsidRPr="003702DC" w:rsidRDefault="004F64B7">
      <w:pPr>
        <w:rPr>
          <w:lang w:val="uk-UA"/>
        </w:rPr>
      </w:pPr>
    </w:p>
    <w:p w:rsidR="00A57689" w:rsidRDefault="00A57689">
      <w:pPr>
        <w:rPr>
          <w:lang w:val="uk-UA"/>
        </w:rPr>
      </w:pPr>
    </w:p>
    <w:p w:rsidR="00BD6F2D" w:rsidRPr="00BD6F2D" w:rsidRDefault="00BD6F2D" w:rsidP="00BD6F2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2D">
        <w:rPr>
          <w:rFonts w:ascii="Times New Roman" w:eastAsia="Times New Roman" w:hAnsi="Times New Roman" w:cs="Times New Roman"/>
          <w:color w:val="000000"/>
          <w:sz w:val="28"/>
          <w:szCs w:val="28"/>
        </w:rPr>
        <w:t>ТВО уповноваженого з антикорупційної</w:t>
      </w:r>
    </w:p>
    <w:p w:rsidR="00BD6F2D" w:rsidRPr="00BD6F2D" w:rsidRDefault="00BD6F2D" w:rsidP="00BD6F2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діяльності Державної лікарні </w:t>
      </w:r>
    </w:p>
    <w:p w:rsidR="00BD6F2D" w:rsidRDefault="00BD6F2D" w:rsidP="00BD6F2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F2D">
        <w:rPr>
          <w:rFonts w:ascii="Times New Roman" w:eastAsia="Times New Roman" w:hAnsi="Times New Roman" w:cs="Times New Roman"/>
          <w:color w:val="000000"/>
          <w:sz w:val="28"/>
          <w:szCs w:val="28"/>
        </w:rPr>
        <w:t>МВС України в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F2D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Кривий Ріг</w:t>
      </w:r>
      <w:r w:rsidRPr="00BD6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Ігор ШАКУЛА</w:t>
      </w:r>
    </w:p>
    <w:p w:rsidR="00A57689" w:rsidRPr="00BD6F2D" w:rsidRDefault="00A57689" w:rsidP="00A57689">
      <w:pPr>
        <w:rPr>
          <w:lang w:val="uk-UA"/>
        </w:rPr>
      </w:pPr>
      <w:r w:rsidRPr="00A57689">
        <w:rPr>
          <w:sz w:val="28"/>
          <w:szCs w:val="28"/>
          <w:lang w:val="uk-UA"/>
        </w:rPr>
        <w:t xml:space="preserve">                                                      </w:t>
      </w:r>
    </w:p>
    <w:p w:rsidR="00A57689" w:rsidRPr="00A57689" w:rsidRDefault="00A57689">
      <w:pPr>
        <w:rPr>
          <w:lang w:val="uk-UA"/>
        </w:rPr>
      </w:pPr>
    </w:p>
    <w:sectPr w:rsidR="00A57689" w:rsidRPr="00A57689" w:rsidSect="00594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2924"/>
    <w:multiLevelType w:val="hybridMultilevel"/>
    <w:tmpl w:val="F9748BEA"/>
    <w:lvl w:ilvl="0" w:tplc="3B221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280"/>
    <w:rsid w:val="00045C14"/>
    <w:rsid w:val="00056C4B"/>
    <w:rsid w:val="00065E57"/>
    <w:rsid w:val="00067588"/>
    <w:rsid w:val="00115335"/>
    <w:rsid w:val="00156D58"/>
    <w:rsid w:val="002638CE"/>
    <w:rsid w:val="002D755E"/>
    <w:rsid w:val="003702DC"/>
    <w:rsid w:val="00392DBC"/>
    <w:rsid w:val="00447384"/>
    <w:rsid w:val="004C6CBE"/>
    <w:rsid w:val="004F64B7"/>
    <w:rsid w:val="00526D31"/>
    <w:rsid w:val="00594280"/>
    <w:rsid w:val="005D15EA"/>
    <w:rsid w:val="006B2904"/>
    <w:rsid w:val="006F5FC7"/>
    <w:rsid w:val="00720089"/>
    <w:rsid w:val="00776387"/>
    <w:rsid w:val="007F3FC3"/>
    <w:rsid w:val="008701CB"/>
    <w:rsid w:val="00871577"/>
    <w:rsid w:val="008B3C82"/>
    <w:rsid w:val="008C06F2"/>
    <w:rsid w:val="00904B51"/>
    <w:rsid w:val="00953987"/>
    <w:rsid w:val="009E3E81"/>
    <w:rsid w:val="00A57689"/>
    <w:rsid w:val="00AB4FBA"/>
    <w:rsid w:val="00AE0AE8"/>
    <w:rsid w:val="00BD6F2D"/>
    <w:rsid w:val="00BF60B2"/>
    <w:rsid w:val="00C8016C"/>
    <w:rsid w:val="00E0042C"/>
    <w:rsid w:val="00E15CA6"/>
    <w:rsid w:val="00EA3B2A"/>
    <w:rsid w:val="00F05BAA"/>
    <w:rsid w:val="00F5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D6F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4BB2-DED2-4EDE-8E11-6A22866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Kyzmenko YP</dc:creator>
  <cp:lastModifiedBy>Admin</cp:lastModifiedBy>
  <cp:revision>2</cp:revision>
  <cp:lastPrinted>2020-03-10T08:19:00Z</cp:lastPrinted>
  <dcterms:created xsi:type="dcterms:W3CDTF">2020-03-10T08:28:00Z</dcterms:created>
  <dcterms:modified xsi:type="dcterms:W3CDTF">2020-03-10T08:28:00Z</dcterms:modified>
</cp:coreProperties>
</file>